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9158" w14:textId="77777777" w:rsidR="00DE1C11" w:rsidRPr="00DE1C11" w:rsidRDefault="00DE1C11" w:rsidP="00DE1C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CF64C8" w14:textId="77777777" w:rsidR="00DE1C11" w:rsidRPr="00DE1C11" w:rsidRDefault="00DE1C11" w:rsidP="00DE1C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10615A" w14:textId="77777777" w:rsidR="00DE1C11" w:rsidRPr="00DE1C11" w:rsidRDefault="00DE1C11" w:rsidP="00DE1C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6E3AC0" w14:textId="77777777" w:rsidR="00DE1C11" w:rsidRPr="00DE1C11" w:rsidRDefault="00DE1C11" w:rsidP="00DE1C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9EA72B" w14:textId="6F7396D4" w:rsidR="00DE1C11" w:rsidRPr="00DE1C11" w:rsidRDefault="00DE1C11" w:rsidP="00DE1C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C11">
        <w:rPr>
          <w:rFonts w:ascii="Times New Roman" w:hAnsi="Times New Roman" w:cs="Times New Roman"/>
          <w:b/>
          <w:sz w:val="32"/>
          <w:szCs w:val="32"/>
        </w:rPr>
        <w:t xml:space="preserve">BIBLIOGRAFIE </w:t>
      </w:r>
    </w:p>
    <w:p w14:paraId="467FEB72" w14:textId="78AD3B33" w:rsidR="00DE1C11" w:rsidRPr="00DE1C11" w:rsidRDefault="00DE1C11" w:rsidP="00DE1C1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E1C11">
        <w:rPr>
          <w:rFonts w:ascii="Times New Roman" w:hAnsi="Times New Roman" w:cs="Times New Roman"/>
          <w:b/>
          <w:sz w:val="30"/>
          <w:szCs w:val="30"/>
        </w:rPr>
        <w:t>Specialist rela</w:t>
      </w:r>
      <w:r w:rsidRPr="00DE1C11">
        <w:rPr>
          <w:rFonts w:ascii="Times New Roman" w:hAnsi="Times New Roman" w:cs="Times New Roman"/>
          <w:b/>
          <w:sz w:val="30"/>
          <w:szCs w:val="30"/>
        </w:rPr>
        <w:t>ț</w:t>
      </w:r>
      <w:r w:rsidRPr="00DE1C11">
        <w:rPr>
          <w:rFonts w:ascii="Times New Roman" w:hAnsi="Times New Roman" w:cs="Times New Roman"/>
          <w:b/>
          <w:sz w:val="30"/>
          <w:szCs w:val="30"/>
        </w:rPr>
        <w:t>ionare clien</w:t>
      </w:r>
      <w:r>
        <w:rPr>
          <w:rFonts w:ascii="Times New Roman" w:hAnsi="Times New Roman" w:cs="Times New Roman"/>
          <w:b/>
          <w:sz w:val="30"/>
          <w:szCs w:val="30"/>
        </w:rPr>
        <w:t>ț</w:t>
      </w:r>
      <w:r w:rsidRPr="00DE1C11">
        <w:rPr>
          <w:rFonts w:ascii="Times New Roman" w:hAnsi="Times New Roman" w:cs="Times New Roman"/>
          <w:b/>
          <w:sz w:val="30"/>
          <w:szCs w:val="30"/>
        </w:rPr>
        <w:t xml:space="preserve">i </w:t>
      </w:r>
    </w:p>
    <w:p w14:paraId="3478518D" w14:textId="77777777" w:rsidR="00DE1C11" w:rsidRPr="00DE1C11" w:rsidRDefault="00DE1C11" w:rsidP="00DE1C1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6DD5F99" w14:textId="77777777" w:rsidR="00DE1C11" w:rsidRPr="00DE1C11" w:rsidRDefault="00DE1C11" w:rsidP="00DE1C1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5A92E18" w14:textId="77777777" w:rsidR="00DE1C11" w:rsidRPr="00DE1C11" w:rsidRDefault="00DE1C11" w:rsidP="00DE1C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5A53CA" w14:textId="5864652A" w:rsidR="00DE1C11" w:rsidRPr="00DE1C11" w:rsidRDefault="00DE1C11" w:rsidP="00DE1C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19725572"/>
      <w:r w:rsidRPr="00DE1C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Legea nr. 544/2001 privind accesul la informa</w:t>
      </w:r>
      <w:r w:rsidRPr="00DE1C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ț</w:t>
      </w:r>
      <w:r w:rsidRPr="00DE1C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iile de interes public;</w:t>
      </w:r>
    </w:p>
    <w:p w14:paraId="024D5D01" w14:textId="2B17D589" w:rsidR="00DE1C11" w:rsidRPr="00DE1C11" w:rsidRDefault="00DE1C11" w:rsidP="00DE1C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C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Legea nr. 233/2002</w:t>
      </w:r>
      <w:r w:rsidRPr="00DE1C11">
        <w:rPr>
          <w:rFonts w:ascii="Verdana" w:hAnsi="Verdana"/>
          <w:b/>
          <w:bCs/>
          <w:color w:val="00008B"/>
          <w:sz w:val="28"/>
          <w:szCs w:val="28"/>
          <w:shd w:val="clear" w:color="auto" w:fill="FFFFFF"/>
        </w:rPr>
        <w:t xml:space="preserve"> </w:t>
      </w:r>
      <w:r w:rsidRPr="00DE1C11">
        <w:rPr>
          <w:rFonts w:ascii="Times New Roman" w:hAnsi="Times New Roman" w:cs="Times New Roman"/>
          <w:sz w:val="28"/>
          <w:szCs w:val="28"/>
          <w:shd w:val="clear" w:color="auto" w:fill="FFFFFF"/>
        </w:rPr>
        <w:t>pentru aprobarea </w:t>
      </w:r>
      <w:hyperlink r:id="rId7" w:history="1">
        <w:r w:rsidRPr="00DE1C1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Ordonanței Guvernului nr. 27/2002</w:t>
        </w:r>
      </w:hyperlink>
      <w:r w:rsidRPr="00DE1C11">
        <w:rPr>
          <w:rFonts w:ascii="Times New Roman" w:hAnsi="Times New Roman" w:cs="Times New Roman"/>
          <w:sz w:val="28"/>
          <w:szCs w:val="28"/>
          <w:shd w:val="clear" w:color="auto" w:fill="FFFFFF"/>
        </w:rPr>
        <w:t> privind reglementarea activității de soluționare a peti</w:t>
      </w:r>
      <w:r w:rsidRPr="00DE1C11">
        <w:rPr>
          <w:rFonts w:ascii="Times New Roman" w:hAnsi="Times New Roman" w:cs="Times New Roman"/>
          <w:sz w:val="28"/>
          <w:szCs w:val="28"/>
          <w:shd w:val="clear" w:color="auto" w:fill="FFFFFF"/>
        </w:rPr>
        <w:t>ț</w:t>
      </w:r>
      <w:r w:rsidRPr="00DE1C11">
        <w:rPr>
          <w:rFonts w:ascii="Times New Roman" w:hAnsi="Times New Roman" w:cs="Times New Roman"/>
          <w:sz w:val="28"/>
          <w:szCs w:val="28"/>
          <w:shd w:val="clear" w:color="auto" w:fill="FFFFFF"/>
        </w:rPr>
        <w:t>iilor;</w:t>
      </w:r>
    </w:p>
    <w:p w14:paraId="6CF5A323" w14:textId="60147CE7" w:rsidR="00DE1C11" w:rsidRPr="00DE1C11" w:rsidRDefault="00DE1C11" w:rsidP="00DE1C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C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Legea 241/2006 privind serviciul de alimentare cu ap</w:t>
      </w:r>
      <w:r w:rsidRPr="00DE1C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ă</w:t>
      </w:r>
      <w:r w:rsidRPr="00DE1C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E1C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ș</w:t>
      </w:r>
      <w:r w:rsidRPr="00DE1C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i canalizare;</w:t>
      </w:r>
    </w:p>
    <w:p w14:paraId="26806344" w14:textId="73D38CB8" w:rsidR="00DE1C11" w:rsidRPr="00DE1C11" w:rsidRDefault="00DE1C11" w:rsidP="00DE1C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C11">
        <w:rPr>
          <w:rFonts w:ascii="Times New Roman" w:hAnsi="Times New Roman" w:cs="Times New Roman"/>
          <w:sz w:val="28"/>
          <w:szCs w:val="28"/>
          <w:shd w:val="clear" w:color="auto" w:fill="FFFFFF"/>
        </w:rPr>
        <w:t>Ordonan</w:t>
      </w:r>
      <w:r w:rsidRPr="00DE1C11">
        <w:rPr>
          <w:rFonts w:ascii="Times New Roman" w:hAnsi="Times New Roman" w:cs="Times New Roman"/>
          <w:sz w:val="28"/>
          <w:szCs w:val="28"/>
          <w:shd w:val="clear" w:color="auto" w:fill="FFFFFF"/>
        </w:rPr>
        <w:t>ț</w:t>
      </w:r>
      <w:r w:rsidRPr="00DE1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nr. 27/2002 </w:t>
      </w:r>
      <w:r w:rsidRPr="00DE1C11">
        <w:rPr>
          <w:rFonts w:ascii="Times New Roman" w:eastAsia="Times New Roman" w:hAnsi="Times New Roman" w:cs="Times New Roman"/>
          <w:kern w:val="36"/>
          <w:sz w:val="28"/>
          <w:szCs w:val="28"/>
          <w:lang w:eastAsia="en-GB"/>
        </w:rPr>
        <w:t>privind reglementarea activității de soluționare a petițiilor;</w:t>
      </w:r>
    </w:p>
    <w:p w14:paraId="266CE153" w14:textId="77777777" w:rsidR="00DE1C11" w:rsidRPr="00DE1C11" w:rsidRDefault="00DE1C11" w:rsidP="00DE1C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C11">
        <w:rPr>
          <w:rFonts w:ascii="Times New Roman" w:hAnsi="Times New Roman" w:cs="Times New Roman"/>
          <w:sz w:val="28"/>
          <w:szCs w:val="28"/>
          <w:shd w:val="clear" w:color="auto" w:fill="FFFFFF"/>
        </w:rPr>
        <w:t>Legea nr. 22/1969 privind angajarea gestionarilor, constituirea de garanţii şi răspunderea în legatură cu gestionarea bunurilor agenţilor economici, autorităţilor sau instituţiilor publice;</w:t>
      </w:r>
    </w:p>
    <w:p w14:paraId="3A0CFAC7" w14:textId="75DFBEC7" w:rsidR="00DE1C11" w:rsidRPr="00DE1C11" w:rsidRDefault="00DE1C11" w:rsidP="00DE1C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C11">
        <w:rPr>
          <w:rFonts w:ascii="Times New Roman" w:eastAsia="Calibri" w:hAnsi="Times New Roman" w:cs="Times New Roman"/>
          <w:sz w:val="28"/>
          <w:szCs w:val="28"/>
        </w:rPr>
        <w:t>Decretul 209/1976 privind aprobarea Regulamentului opera</w:t>
      </w:r>
      <w:r w:rsidRPr="00DE1C11">
        <w:rPr>
          <w:rFonts w:ascii="Times New Roman" w:eastAsia="Calibri" w:hAnsi="Times New Roman" w:cs="Times New Roman"/>
          <w:sz w:val="28"/>
          <w:szCs w:val="28"/>
        </w:rPr>
        <w:t>ț</w:t>
      </w:r>
      <w:r w:rsidRPr="00DE1C11">
        <w:rPr>
          <w:rFonts w:ascii="Times New Roman" w:eastAsia="Calibri" w:hAnsi="Times New Roman" w:cs="Times New Roman"/>
          <w:sz w:val="28"/>
          <w:szCs w:val="28"/>
        </w:rPr>
        <w:t>iilor de cas</w:t>
      </w:r>
      <w:r w:rsidRPr="00DE1C11">
        <w:rPr>
          <w:rFonts w:ascii="Times New Roman" w:eastAsia="Calibri" w:hAnsi="Times New Roman" w:cs="Times New Roman"/>
          <w:sz w:val="28"/>
          <w:szCs w:val="28"/>
        </w:rPr>
        <w:t>ă</w:t>
      </w:r>
      <w:r w:rsidRPr="00DE1C11">
        <w:rPr>
          <w:rFonts w:ascii="Times New Roman" w:eastAsia="Calibri" w:hAnsi="Times New Roman" w:cs="Times New Roman"/>
          <w:sz w:val="28"/>
          <w:szCs w:val="28"/>
        </w:rPr>
        <w:t xml:space="preserve"> ale unit</w:t>
      </w:r>
      <w:r w:rsidRPr="00DE1C11">
        <w:rPr>
          <w:rFonts w:ascii="Times New Roman" w:eastAsia="Calibri" w:hAnsi="Times New Roman" w:cs="Times New Roman"/>
          <w:sz w:val="28"/>
          <w:szCs w:val="28"/>
        </w:rPr>
        <w:t>ăț</w:t>
      </w:r>
      <w:r w:rsidRPr="00DE1C11">
        <w:rPr>
          <w:rFonts w:ascii="Times New Roman" w:eastAsia="Calibri" w:hAnsi="Times New Roman" w:cs="Times New Roman"/>
          <w:sz w:val="28"/>
          <w:szCs w:val="28"/>
        </w:rPr>
        <w:t>ilor socialiste;</w:t>
      </w:r>
    </w:p>
    <w:p w14:paraId="1EFD8507" w14:textId="79DB8828" w:rsidR="00DE1C11" w:rsidRPr="00DE1C11" w:rsidRDefault="00DE1C11" w:rsidP="00DE1C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C11">
        <w:rPr>
          <w:rFonts w:ascii="Times New Roman" w:eastAsia="Calibri" w:hAnsi="Times New Roman" w:cs="Times New Roman"/>
          <w:sz w:val="28"/>
          <w:szCs w:val="28"/>
        </w:rPr>
        <w:t>Legea nr. 319/14.07.2006 a securit</w:t>
      </w:r>
      <w:r w:rsidRPr="00DE1C11">
        <w:rPr>
          <w:rFonts w:ascii="Times New Roman" w:eastAsia="Calibri" w:hAnsi="Times New Roman" w:cs="Times New Roman"/>
          <w:sz w:val="28"/>
          <w:szCs w:val="28"/>
        </w:rPr>
        <w:t>ăț</w:t>
      </w:r>
      <w:r w:rsidRPr="00DE1C11">
        <w:rPr>
          <w:rFonts w:ascii="Times New Roman" w:eastAsia="Calibri" w:hAnsi="Times New Roman" w:cs="Times New Roman"/>
          <w:sz w:val="28"/>
          <w:szCs w:val="28"/>
        </w:rPr>
        <w:t xml:space="preserve">ii </w:t>
      </w:r>
      <w:r w:rsidRPr="00DE1C11">
        <w:rPr>
          <w:rFonts w:ascii="Times New Roman" w:eastAsia="Calibri" w:hAnsi="Times New Roman" w:cs="Times New Roman"/>
          <w:sz w:val="28"/>
          <w:szCs w:val="28"/>
        </w:rPr>
        <w:t>ș</w:t>
      </w:r>
      <w:r w:rsidRPr="00DE1C11">
        <w:rPr>
          <w:rFonts w:ascii="Times New Roman" w:eastAsia="Calibri" w:hAnsi="Times New Roman" w:cs="Times New Roman"/>
          <w:sz w:val="28"/>
          <w:szCs w:val="28"/>
        </w:rPr>
        <w:t>i s</w:t>
      </w:r>
      <w:r w:rsidRPr="00DE1C11">
        <w:rPr>
          <w:rFonts w:ascii="Times New Roman" w:eastAsia="Calibri" w:hAnsi="Times New Roman" w:cs="Times New Roman"/>
          <w:sz w:val="28"/>
          <w:szCs w:val="28"/>
        </w:rPr>
        <w:t>ă</w:t>
      </w:r>
      <w:r w:rsidRPr="00DE1C11">
        <w:rPr>
          <w:rFonts w:ascii="Times New Roman" w:eastAsia="Calibri" w:hAnsi="Times New Roman" w:cs="Times New Roman"/>
          <w:sz w:val="28"/>
          <w:szCs w:val="28"/>
        </w:rPr>
        <w:t>n</w:t>
      </w:r>
      <w:r w:rsidRPr="00DE1C11">
        <w:rPr>
          <w:rFonts w:ascii="Times New Roman" w:eastAsia="Calibri" w:hAnsi="Times New Roman" w:cs="Times New Roman"/>
          <w:sz w:val="28"/>
          <w:szCs w:val="28"/>
        </w:rPr>
        <w:t>ă</w:t>
      </w:r>
      <w:r w:rsidRPr="00DE1C11">
        <w:rPr>
          <w:rFonts w:ascii="Times New Roman" w:eastAsia="Calibri" w:hAnsi="Times New Roman" w:cs="Times New Roman"/>
          <w:sz w:val="28"/>
          <w:szCs w:val="28"/>
        </w:rPr>
        <w:t>t</w:t>
      </w:r>
      <w:r w:rsidRPr="00DE1C11">
        <w:rPr>
          <w:rFonts w:ascii="Times New Roman" w:eastAsia="Calibri" w:hAnsi="Times New Roman" w:cs="Times New Roman"/>
          <w:sz w:val="28"/>
          <w:szCs w:val="28"/>
        </w:rPr>
        <w:t>ăț</w:t>
      </w:r>
      <w:r w:rsidRPr="00DE1C11">
        <w:rPr>
          <w:rFonts w:ascii="Times New Roman" w:eastAsia="Calibri" w:hAnsi="Times New Roman" w:cs="Times New Roman"/>
          <w:sz w:val="28"/>
          <w:szCs w:val="28"/>
        </w:rPr>
        <w:t xml:space="preserve">ii </w:t>
      </w:r>
      <w:r w:rsidRPr="00DE1C11">
        <w:rPr>
          <w:rFonts w:ascii="Times New Roman" w:eastAsia="Calibri" w:hAnsi="Times New Roman" w:cs="Times New Roman"/>
          <w:sz w:val="28"/>
          <w:szCs w:val="28"/>
        </w:rPr>
        <w:t>î</w:t>
      </w:r>
      <w:r w:rsidRPr="00DE1C11">
        <w:rPr>
          <w:rFonts w:ascii="Times New Roman" w:eastAsia="Calibri" w:hAnsi="Times New Roman" w:cs="Times New Roman"/>
          <w:sz w:val="28"/>
          <w:szCs w:val="28"/>
        </w:rPr>
        <w:t>n munc</w:t>
      </w:r>
      <w:r w:rsidRPr="00DE1C11">
        <w:rPr>
          <w:rFonts w:ascii="Times New Roman" w:eastAsia="Calibri" w:hAnsi="Times New Roman" w:cs="Times New Roman"/>
          <w:sz w:val="28"/>
          <w:szCs w:val="28"/>
        </w:rPr>
        <w:t>ă</w:t>
      </w:r>
      <w:r w:rsidRPr="00DE1C1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EE5241F" w14:textId="77C3377E" w:rsidR="00DE1C11" w:rsidRPr="00DE1C11" w:rsidRDefault="00DE1C11" w:rsidP="00DE1C1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C11">
        <w:rPr>
          <w:rFonts w:ascii="Times New Roman" w:eastAsia="Calibri" w:hAnsi="Times New Roman" w:cs="Times New Roman"/>
          <w:sz w:val="28"/>
          <w:szCs w:val="28"/>
        </w:rPr>
        <w:t>Cap. III Obliga</w:t>
      </w:r>
      <w:r w:rsidRPr="00DE1C11">
        <w:rPr>
          <w:rFonts w:ascii="Times New Roman" w:eastAsia="Calibri" w:hAnsi="Times New Roman" w:cs="Times New Roman"/>
          <w:sz w:val="28"/>
          <w:szCs w:val="28"/>
        </w:rPr>
        <w:t>ț</w:t>
      </w:r>
      <w:r w:rsidRPr="00DE1C11">
        <w:rPr>
          <w:rFonts w:ascii="Times New Roman" w:eastAsia="Calibri" w:hAnsi="Times New Roman" w:cs="Times New Roman"/>
          <w:sz w:val="28"/>
          <w:szCs w:val="28"/>
        </w:rPr>
        <w:t>iile angajatorului;</w:t>
      </w:r>
    </w:p>
    <w:p w14:paraId="37A7BD83" w14:textId="1FB7E1F4" w:rsidR="00DE1C11" w:rsidRPr="00DE1C11" w:rsidRDefault="00DE1C11" w:rsidP="00DE1C1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C11">
        <w:rPr>
          <w:rFonts w:ascii="Times New Roman" w:eastAsia="Calibri" w:hAnsi="Times New Roman" w:cs="Times New Roman"/>
          <w:sz w:val="28"/>
          <w:szCs w:val="28"/>
        </w:rPr>
        <w:t>Cap. IV Obliga</w:t>
      </w:r>
      <w:r w:rsidRPr="00DE1C11">
        <w:rPr>
          <w:rFonts w:ascii="Times New Roman" w:eastAsia="Calibri" w:hAnsi="Times New Roman" w:cs="Times New Roman"/>
          <w:sz w:val="28"/>
          <w:szCs w:val="28"/>
        </w:rPr>
        <w:t>ț</w:t>
      </w:r>
      <w:r w:rsidRPr="00DE1C11">
        <w:rPr>
          <w:rFonts w:ascii="Times New Roman" w:eastAsia="Calibri" w:hAnsi="Times New Roman" w:cs="Times New Roman"/>
          <w:sz w:val="28"/>
          <w:szCs w:val="28"/>
        </w:rPr>
        <w:t>iile lucr</w:t>
      </w:r>
      <w:r>
        <w:rPr>
          <w:rFonts w:ascii="Times New Roman" w:eastAsia="Calibri" w:hAnsi="Times New Roman" w:cs="Times New Roman"/>
          <w:sz w:val="28"/>
          <w:szCs w:val="28"/>
        </w:rPr>
        <w:t>ă</w:t>
      </w:r>
      <w:r w:rsidRPr="00DE1C11">
        <w:rPr>
          <w:rFonts w:ascii="Times New Roman" w:eastAsia="Calibri" w:hAnsi="Times New Roman" w:cs="Times New Roman"/>
          <w:sz w:val="28"/>
          <w:szCs w:val="28"/>
        </w:rPr>
        <w:t>torilor;</w:t>
      </w:r>
    </w:p>
    <w:p w14:paraId="391E14FF" w14:textId="772C61CF" w:rsidR="00DE1C11" w:rsidRPr="00DE1C11" w:rsidRDefault="00DE1C11" w:rsidP="00DE1C1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C11">
        <w:rPr>
          <w:rFonts w:ascii="Times New Roman" w:eastAsia="Calibri" w:hAnsi="Times New Roman" w:cs="Times New Roman"/>
          <w:sz w:val="28"/>
          <w:szCs w:val="28"/>
        </w:rPr>
        <w:t xml:space="preserve">Cap. VI Comunicarea, cercetarea, </w:t>
      </w:r>
      <w:r>
        <w:rPr>
          <w:rFonts w:ascii="Times New Roman" w:eastAsia="Calibri" w:hAnsi="Times New Roman" w:cs="Times New Roman"/>
          <w:sz w:val="28"/>
          <w:szCs w:val="28"/>
        </w:rPr>
        <w:t>î</w:t>
      </w:r>
      <w:r w:rsidRPr="00DE1C11">
        <w:rPr>
          <w:rFonts w:ascii="Times New Roman" w:eastAsia="Calibri" w:hAnsi="Times New Roman" w:cs="Times New Roman"/>
          <w:sz w:val="28"/>
          <w:szCs w:val="28"/>
        </w:rPr>
        <w:t xml:space="preserve">nregistrarea </w:t>
      </w:r>
      <w:r>
        <w:rPr>
          <w:rFonts w:ascii="Times New Roman" w:eastAsia="Calibri" w:hAnsi="Times New Roman" w:cs="Times New Roman"/>
          <w:sz w:val="28"/>
          <w:szCs w:val="28"/>
        </w:rPr>
        <w:t>ș</w:t>
      </w:r>
      <w:r w:rsidRPr="00DE1C11">
        <w:rPr>
          <w:rFonts w:ascii="Times New Roman" w:eastAsia="Calibri" w:hAnsi="Times New Roman" w:cs="Times New Roman"/>
          <w:sz w:val="28"/>
          <w:szCs w:val="28"/>
        </w:rPr>
        <w:t xml:space="preserve">i raportarea evenimentelor; </w:t>
      </w:r>
    </w:p>
    <w:p w14:paraId="52183C46" w14:textId="77777777" w:rsidR="00DE1C11" w:rsidRPr="00DE1C11" w:rsidRDefault="00DE1C11" w:rsidP="00DE1C1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C11">
        <w:rPr>
          <w:rFonts w:ascii="Times New Roman" w:eastAsia="Calibri" w:hAnsi="Times New Roman" w:cs="Times New Roman"/>
          <w:sz w:val="28"/>
          <w:szCs w:val="28"/>
        </w:rPr>
        <w:t>Cap.VII Grupuri sensibile la riscuri;</w:t>
      </w:r>
    </w:p>
    <w:p w14:paraId="06CD27C5" w14:textId="37E88B1C" w:rsidR="00DE1C11" w:rsidRPr="00DE1C11" w:rsidRDefault="00DE1C11" w:rsidP="00DE1C1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C11">
        <w:rPr>
          <w:rFonts w:ascii="Times New Roman" w:eastAsia="Calibri" w:hAnsi="Times New Roman" w:cs="Times New Roman"/>
          <w:sz w:val="28"/>
          <w:szCs w:val="28"/>
        </w:rPr>
        <w:t>Cap. IX Contraven</w:t>
      </w:r>
      <w:r>
        <w:rPr>
          <w:rFonts w:ascii="Times New Roman" w:eastAsia="Calibri" w:hAnsi="Times New Roman" w:cs="Times New Roman"/>
          <w:sz w:val="28"/>
          <w:szCs w:val="28"/>
        </w:rPr>
        <w:t>ț</w:t>
      </w:r>
      <w:r w:rsidRPr="00DE1C11">
        <w:rPr>
          <w:rFonts w:ascii="Times New Roman" w:eastAsia="Calibri" w:hAnsi="Times New Roman" w:cs="Times New Roman"/>
          <w:sz w:val="28"/>
          <w:szCs w:val="28"/>
        </w:rPr>
        <w:t>ii.</w:t>
      </w:r>
    </w:p>
    <w:p w14:paraId="077B57FC" w14:textId="7F028588" w:rsidR="00DE1C11" w:rsidRPr="00DE1C11" w:rsidRDefault="00DE1C11" w:rsidP="00DE1C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C11">
        <w:rPr>
          <w:rFonts w:ascii="Times New Roman" w:eastAsia="Calibri" w:hAnsi="Times New Roman" w:cs="Times New Roman"/>
          <w:sz w:val="28"/>
          <w:szCs w:val="28"/>
        </w:rPr>
        <w:t>Legea nr. 307/12.07.2006 privind ap</w:t>
      </w:r>
      <w:r>
        <w:rPr>
          <w:rFonts w:ascii="Times New Roman" w:eastAsia="Calibri" w:hAnsi="Times New Roman" w:cs="Times New Roman"/>
          <w:sz w:val="28"/>
          <w:szCs w:val="28"/>
        </w:rPr>
        <w:t>ă</w:t>
      </w:r>
      <w:r w:rsidRPr="00DE1C11">
        <w:rPr>
          <w:rFonts w:ascii="Times New Roman" w:eastAsia="Calibri" w:hAnsi="Times New Roman" w:cs="Times New Roman"/>
          <w:sz w:val="28"/>
          <w:szCs w:val="28"/>
        </w:rPr>
        <w:t xml:space="preserve">rarea </w:t>
      </w:r>
      <w:r>
        <w:rPr>
          <w:rFonts w:ascii="Times New Roman" w:eastAsia="Calibri" w:hAnsi="Times New Roman" w:cs="Times New Roman"/>
          <w:sz w:val="28"/>
          <w:szCs w:val="28"/>
        </w:rPr>
        <w:t>î</w:t>
      </w:r>
      <w:r w:rsidRPr="00DE1C11">
        <w:rPr>
          <w:rFonts w:ascii="Times New Roman" w:eastAsia="Calibri" w:hAnsi="Times New Roman" w:cs="Times New Roman"/>
          <w:sz w:val="28"/>
          <w:szCs w:val="28"/>
        </w:rPr>
        <w:t>mpotriva incendiilor:</w:t>
      </w:r>
    </w:p>
    <w:p w14:paraId="21EB007E" w14:textId="38A83582" w:rsidR="00DE1C11" w:rsidRPr="00DE1C11" w:rsidRDefault="00DE1C11" w:rsidP="00DE1C1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1C11">
        <w:rPr>
          <w:rFonts w:ascii="Times New Roman" w:eastAsia="Calibri" w:hAnsi="Times New Roman" w:cs="Times New Roman"/>
          <w:sz w:val="28"/>
          <w:szCs w:val="28"/>
        </w:rPr>
        <w:t>Cap II sec</w:t>
      </w:r>
      <w:r>
        <w:rPr>
          <w:rFonts w:ascii="Times New Roman" w:eastAsia="Calibri" w:hAnsi="Times New Roman" w:cs="Times New Roman"/>
          <w:sz w:val="28"/>
          <w:szCs w:val="28"/>
        </w:rPr>
        <w:t>ț</w:t>
      </w:r>
      <w:r w:rsidRPr="00DE1C11">
        <w:rPr>
          <w:rFonts w:ascii="Times New Roman" w:eastAsia="Calibri" w:hAnsi="Times New Roman" w:cs="Times New Roman"/>
          <w:sz w:val="28"/>
          <w:szCs w:val="28"/>
        </w:rPr>
        <w:t>iunea a 6-a, art.21, 22.</w:t>
      </w:r>
    </w:p>
    <w:bookmarkEnd w:id="0"/>
    <w:p w14:paraId="4F7EA01D" w14:textId="77777777" w:rsidR="00DE1C11" w:rsidRPr="00DE1C11" w:rsidRDefault="00DE1C11" w:rsidP="00DE1C1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7D1572B" w14:textId="77777777" w:rsidR="00DE1C11" w:rsidRPr="00DE1C11" w:rsidRDefault="00DE1C11" w:rsidP="00DE1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C11">
        <w:rPr>
          <w:rFonts w:ascii="Times New Roman" w:hAnsi="Times New Roman" w:cs="Times New Roman"/>
          <w:b/>
          <w:sz w:val="28"/>
          <w:szCs w:val="28"/>
        </w:rPr>
        <w:tab/>
      </w:r>
      <w:r w:rsidRPr="00DE1C11">
        <w:rPr>
          <w:rFonts w:ascii="Times New Roman" w:hAnsi="Times New Roman" w:cs="Times New Roman"/>
          <w:b/>
          <w:sz w:val="28"/>
          <w:szCs w:val="28"/>
        </w:rPr>
        <w:tab/>
      </w:r>
      <w:r w:rsidRPr="00DE1C11">
        <w:rPr>
          <w:rFonts w:ascii="Times New Roman" w:hAnsi="Times New Roman" w:cs="Times New Roman"/>
          <w:b/>
          <w:sz w:val="28"/>
          <w:szCs w:val="28"/>
        </w:rPr>
        <w:tab/>
      </w:r>
      <w:r w:rsidRPr="00DE1C11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DE1C11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</w:p>
    <w:p w14:paraId="4509F645" w14:textId="77777777" w:rsidR="00DE1C11" w:rsidRPr="00DE1C11" w:rsidRDefault="00DE1C11" w:rsidP="00DE1C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399341" w14:textId="77777777" w:rsidR="00DE1C11" w:rsidRPr="00DE1C11" w:rsidRDefault="00DE1C11" w:rsidP="00DE1C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D2E473" w14:textId="77777777" w:rsidR="00DE1C11" w:rsidRPr="00DE1C11" w:rsidRDefault="00DE1C11" w:rsidP="00DE1C11"/>
    <w:p w14:paraId="7AD621F4" w14:textId="77777777" w:rsidR="00962B8C" w:rsidRPr="00DE1C11" w:rsidRDefault="00962B8C"/>
    <w:sectPr w:rsidR="00962B8C" w:rsidRPr="00DE1C11" w:rsidSect="00DE1C11">
      <w:headerReference w:type="default" r:id="rId8"/>
      <w:pgSz w:w="12240" w:h="15840"/>
      <w:pgMar w:top="284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64BB" w14:textId="77777777" w:rsidR="00CB36CF" w:rsidRDefault="00CB36CF" w:rsidP="00DE1C11">
      <w:pPr>
        <w:spacing w:after="0" w:line="240" w:lineRule="auto"/>
      </w:pPr>
      <w:r>
        <w:separator/>
      </w:r>
    </w:p>
  </w:endnote>
  <w:endnote w:type="continuationSeparator" w:id="0">
    <w:p w14:paraId="2CB31A46" w14:textId="77777777" w:rsidR="00CB36CF" w:rsidRDefault="00CB36CF" w:rsidP="00DE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420F" w14:textId="77777777" w:rsidR="00CB36CF" w:rsidRDefault="00CB36CF" w:rsidP="00DE1C11">
      <w:pPr>
        <w:spacing w:after="0" w:line="240" w:lineRule="auto"/>
      </w:pPr>
      <w:r>
        <w:separator/>
      </w:r>
    </w:p>
  </w:footnote>
  <w:footnote w:type="continuationSeparator" w:id="0">
    <w:p w14:paraId="10353E6E" w14:textId="77777777" w:rsidR="00CB36CF" w:rsidRDefault="00CB36CF" w:rsidP="00DE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DB43" w14:textId="69C5805A" w:rsidR="00DE1C11" w:rsidRPr="00DE1C11" w:rsidRDefault="00DE1C11" w:rsidP="00DE1C11">
    <w:pPr>
      <w:pStyle w:val="Header"/>
    </w:pPr>
    <w:r>
      <w:rPr>
        <w:noProof/>
        <w14:ligatures w14:val="standardContextual"/>
      </w:rPr>
      <w:drawing>
        <wp:inline distT="0" distB="0" distL="0" distR="0" wp14:anchorId="58D9FCD2" wp14:editId="782B7919">
          <wp:extent cx="6480810" cy="1428750"/>
          <wp:effectExtent l="0" t="0" r="0" b="0"/>
          <wp:docPr id="6227470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747084" name="Picture 622747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61489"/>
    <w:multiLevelType w:val="hybridMultilevel"/>
    <w:tmpl w:val="F4389F8C"/>
    <w:lvl w:ilvl="0" w:tplc="40C64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97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11"/>
    <w:rsid w:val="0079056A"/>
    <w:rsid w:val="00962B8C"/>
    <w:rsid w:val="00CB36CF"/>
    <w:rsid w:val="00CC5022"/>
    <w:rsid w:val="00DE1C11"/>
    <w:rsid w:val="00D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4841"/>
  <w15:chartTrackingRefBased/>
  <w15:docId w15:val="{2518BD9C-9D33-4818-9DDB-BA1F7CCB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C11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C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C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C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C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C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C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C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1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C11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1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C11"/>
    <w:rPr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gislatie.just.ro/Public/DetaliiDocumentAfis/338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Ionescu</dc:creator>
  <cp:keywords/>
  <dc:description/>
  <cp:lastModifiedBy>Magdalena Ionescu</cp:lastModifiedBy>
  <cp:revision>1</cp:revision>
  <dcterms:created xsi:type="dcterms:W3CDTF">2026-01-19T13:02:00Z</dcterms:created>
  <dcterms:modified xsi:type="dcterms:W3CDTF">2026-01-19T13:06:00Z</dcterms:modified>
</cp:coreProperties>
</file>